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15BA2"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de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51E8539E"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Pr="000B537F">
              <w:rPr>
                <w:rFonts w:asciiTheme="minorHAnsi" w:hAnsiTheme="minorHAnsi"/>
                <w:noProof/>
                <w:webHidden/>
                <w:sz w:val="20"/>
                <w:szCs w:val="20"/>
              </w:rPr>
              <w:fldChar w:fldCharType="end"/>
            </w:r>
          </w:hyperlink>
        </w:p>
        <w:p w14:paraId="47CC41D1" w14:textId="221EBD42"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75F9B70C"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E1C5026"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35B70874"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3</w:t>
            </w:r>
            <w:r w:rsidR="00F46719" w:rsidRPr="000B537F">
              <w:rPr>
                <w:rFonts w:asciiTheme="minorHAnsi" w:hAnsiTheme="minorHAnsi"/>
                <w:noProof/>
                <w:webHidden/>
                <w:sz w:val="20"/>
                <w:szCs w:val="20"/>
              </w:rPr>
              <w:fldChar w:fldCharType="end"/>
            </w:r>
          </w:hyperlink>
        </w:p>
        <w:p w14:paraId="653AF446" w14:textId="2C9BE871"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21BA046A" w14:textId="37DC928C"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5</w:t>
            </w:r>
            <w:r w:rsidR="00F46719" w:rsidRPr="000B537F">
              <w:rPr>
                <w:rFonts w:asciiTheme="minorHAnsi" w:hAnsiTheme="minorHAnsi"/>
                <w:noProof/>
                <w:webHidden/>
                <w:sz w:val="20"/>
                <w:szCs w:val="20"/>
              </w:rPr>
              <w:fldChar w:fldCharType="end"/>
            </w:r>
          </w:hyperlink>
        </w:p>
        <w:p w14:paraId="784807F5" w14:textId="0B009106"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7E663DB5" w14:textId="180385E7"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335A44C3" w14:textId="015548D8"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290CB7FF" w14:textId="1E90990E"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67FB6C3B" w14:textId="0410ED3E"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3373EEEC" w14:textId="43E71DEC"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01A1A543" w14:textId="550A878F"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314DA06E" w14:textId="7545E7CB"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0A10726F" w14:textId="06066D8D"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9</w:t>
            </w:r>
            <w:r w:rsidR="00F46719" w:rsidRPr="000B537F">
              <w:rPr>
                <w:rFonts w:asciiTheme="minorHAnsi" w:hAnsiTheme="minorHAnsi"/>
                <w:noProof/>
                <w:webHidden/>
                <w:sz w:val="20"/>
                <w:szCs w:val="20"/>
              </w:rPr>
              <w:fldChar w:fldCharType="end"/>
            </w:r>
          </w:hyperlink>
        </w:p>
        <w:p w14:paraId="3402BC77" w14:textId="4E425D78" w:rsidR="00F46719" w:rsidRPr="000B537F" w:rsidRDefault="00015BA2"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9</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275BCD8F"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717ED1B0"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 subsidio municipal y proyectos de inversión.</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 tanto</w:t>
      </w:r>
      <w:r w:rsidR="00E00323" w:rsidRPr="000B537F">
        <w:rPr>
          <w:rFonts w:asciiTheme="minorHAnsi" w:hAnsiTheme="minorHAnsi" w:cs="Calibri"/>
          <w:sz w:val="20"/>
          <w:szCs w:val="20"/>
        </w:rPr>
        <w:t xml:space="preserve"> a nivel local como federal.</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1A9DF9F1" w:rsidR="002F3DCE" w:rsidRPr="00063798"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tbl>
      <w:tblPr>
        <w:tblW w:w="7120" w:type="dxa"/>
        <w:tblInd w:w="-5" w:type="dxa"/>
        <w:tblCellMar>
          <w:left w:w="70" w:type="dxa"/>
          <w:right w:w="70" w:type="dxa"/>
        </w:tblCellMar>
        <w:tblLook w:val="04A0" w:firstRow="1" w:lastRow="0" w:firstColumn="1" w:lastColumn="0" w:noHBand="0" w:noVBand="1"/>
      </w:tblPr>
      <w:tblGrid>
        <w:gridCol w:w="2440"/>
        <w:gridCol w:w="1540"/>
        <w:gridCol w:w="1540"/>
        <w:gridCol w:w="1600"/>
      </w:tblGrid>
      <w:tr w:rsidR="00063798" w:rsidRPr="00063798" w14:paraId="2B9A3E20" w14:textId="77777777" w:rsidTr="00063798">
        <w:trPr>
          <w:trHeight w:val="510"/>
        </w:trPr>
        <w:tc>
          <w:tcPr>
            <w:tcW w:w="2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EC095E3" w14:textId="77777777" w:rsidR="00063798" w:rsidRPr="00063798" w:rsidRDefault="00063798" w:rsidP="0006379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FONDO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6D431B79" w14:textId="2802691E"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AUTORIZADO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4281F475" w14:textId="7F875E0A" w:rsidR="00063798" w:rsidRPr="00063798" w:rsidRDefault="00063798" w:rsidP="00E62F3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AMPLIACIÓN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0E8BFDF4" w14:textId="39BFB265"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RECAUDADO</w:t>
            </w:r>
          </w:p>
        </w:tc>
      </w:tr>
      <w:tr w:rsidR="00063798" w:rsidRPr="00063798" w14:paraId="6F4DF569" w14:textId="77777777" w:rsidTr="00063798">
        <w:trPr>
          <w:trHeight w:val="300"/>
        </w:trPr>
        <w:tc>
          <w:tcPr>
            <w:tcW w:w="2440" w:type="dxa"/>
            <w:tcBorders>
              <w:top w:val="nil"/>
              <w:left w:val="nil"/>
              <w:bottom w:val="nil"/>
              <w:right w:val="nil"/>
            </w:tcBorders>
            <w:shd w:val="clear" w:color="auto" w:fill="auto"/>
            <w:noWrap/>
            <w:vAlign w:val="center"/>
            <w:hideMark/>
          </w:tcPr>
          <w:p w14:paraId="574E2C36"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2019:</w:t>
            </w:r>
          </w:p>
        </w:tc>
        <w:tc>
          <w:tcPr>
            <w:tcW w:w="1540" w:type="dxa"/>
            <w:tcBorders>
              <w:top w:val="nil"/>
              <w:left w:val="nil"/>
              <w:bottom w:val="nil"/>
              <w:right w:val="nil"/>
            </w:tcBorders>
            <w:shd w:val="clear" w:color="auto" w:fill="auto"/>
            <w:noWrap/>
            <w:vAlign w:val="center"/>
            <w:hideMark/>
          </w:tcPr>
          <w:p w14:paraId="6D03049B" w14:textId="77777777" w:rsidR="00063798" w:rsidRPr="00063798" w:rsidRDefault="00063798" w:rsidP="00063798">
            <w:pPr>
              <w:spacing w:after="0" w:line="240" w:lineRule="auto"/>
              <w:jc w:val="both"/>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hideMark/>
          </w:tcPr>
          <w:p w14:paraId="27D4AB37"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5,526,978.81 </w:t>
            </w:r>
          </w:p>
        </w:tc>
        <w:tc>
          <w:tcPr>
            <w:tcW w:w="1600" w:type="dxa"/>
            <w:tcBorders>
              <w:top w:val="nil"/>
              <w:left w:val="nil"/>
              <w:bottom w:val="nil"/>
              <w:right w:val="nil"/>
            </w:tcBorders>
            <w:shd w:val="clear" w:color="auto" w:fill="auto"/>
            <w:noWrap/>
            <w:vAlign w:val="center"/>
            <w:hideMark/>
          </w:tcPr>
          <w:p w14:paraId="24B92F07" w14:textId="77777777" w:rsidR="00063798" w:rsidRPr="00063798" w:rsidRDefault="00063798" w:rsidP="00063798">
            <w:pPr>
              <w:spacing w:after="0" w:line="240" w:lineRule="auto"/>
              <w:jc w:val="both"/>
              <w:rPr>
                <w:rFonts w:eastAsia="Times New Roman" w:cs="Calibri"/>
                <w:color w:val="000000"/>
                <w:sz w:val="20"/>
                <w:szCs w:val="20"/>
                <w:lang w:eastAsia="es-MX"/>
              </w:rPr>
            </w:pPr>
          </w:p>
        </w:tc>
      </w:tr>
      <w:tr w:rsidR="00063798" w:rsidRPr="00063798" w14:paraId="146C42E5" w14:textId="77777777" w:rsidTr="00063798">
        <w:trPr>
          <w:trHeight w:val="300"/>
        </w:trPr>
        <w:tc>
          <w:tcPr>
            <w:tcW w:w="2440" w:type="dxa"/>
            <w:tcBorders>
              <w:top w:val="nil"/>
              <w:left w:val="nil"/>
              <w:bottom w:val="nil"/>
              <w:right w:val="nil"/>
            </w:tcBorders>
            <w:shd w:val="clear" w:color="auto" w:fill="auto"/>
            <w:noWrap/>
            <w:vAlign w:val="center"/>
            <w:hideMark/>
          </w:tcPr>
          <w:p w14:paraId="1CCC9D21"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2020:</w:t>
            </w:r>
          </w:p>
        </w:tc>
        <w:tc>
          <w:tcPr>
            <w:tcW w:w="1540" w:type="dxa"/>
            <w:tcBorders>
              <w:top w:val="nil"/>
              <w:left w:val="nil"/>
              <w:bottom w:val="nil"/>
              <w:right w:val="nil"/>
            </w:tcBorders>
            <w:shd w:val="clear" w:color="auto" w:fill="auto"/>
            <w:noWrap/>
            <w:vAlign w:val="center"/>
            <w:hideMark/>
          </w:tcPr>
          <w:p w14:paraId="70B4C8B0"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$ 33,380,223.86 </w:t>
            </w:r>
          </w:p>
        </w:tc>
        <w:tc>
          <w:tcPr>
            <w:tcW w:w="1540" w:type="dxa"/>
            <w:tcBorders>
              <w:top w:val="nil"/>
              <w:left w:val="nil"/>
              <w:bottom w:val="nil"/>
              <w:right w:val="nil"/>
            </w:tcBorders>
            <w:shd w:val="clear" w:color="auto" w:fill="auto"/>
            <w:noWrap/>
            <w:vAlign w:val="center"/>
            <w:hideMark/>
          </w:tcPr>
          <w:p w14:paraId="6283EFA3"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1,200,000.00 </w:t>
            </w:r>
          </w:p>
        </w:tc>
        <w:tc>
          <w:tcPr>
            <w:tcW w:w="1600" w:type="dxa"/>
            <w:tcBorders>
              <w:top w:val="nil"/>
              <w:left w:val="nil"/>
              <w:bottom w:val="nil"/>
              <w:right w:val="nil"/>
            </w:tcBorders>
            <w:shd w:val="clear" w:color="auto" w:fill="auto"/>
            <w:noWrap/>
            <w:vAlign w:val="center"/>
            <w:hideMark/>
          </w:tcPr>
          <w:p w14:paraId="7A8D2909" w14:textId="3E0F7B11"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w:t>
            </w:r>
            <w:r w:rsidR="00015BA2">
              <w:rPr>
                <w:rFonts w:eastAsia="Times New Roman" w:cs="Calibri"/>
                <w:color w:val="000000"/>
                <w:sz w:val="20"/>
                <w:szCs w:val="20"/>
                <w:lang w:eastAsia="es-MX"/>
              </w:rPr>
              <w:t>3</w:t>
            </w:r>
            <w:r w:rsidR="00015BA2" w:rsidRPr="00015BA2">
              <w:rPr>
                <w:rFonts w:eastAsia="Times New Roman" w:cs="Calibri"/>
                <w:color w:val="000000"/>
                <w:sz w:val="20"/>
                <w:szCs w:val="20"/>
                <w:lang w:eastAsia="es-MX"/>
              </w:rPr>
              <w:t>4,580,223</w:t>
            </w:r>
            <w:r w:rsidR="00015BA2">
              <w:rPr>
                <w:rFonts w:eastAsia="Times New Roman" w:cs="Calibri"/>
                <w:color w:val="000000"/>
                <w:sz w:val="20"/>
                <w:szCs w:val="20"/>
                <w:lang w:eastAsia="es-MX"/>
              </w:rPr>
              <w:t>.35</w:t>
            </w:r>
          </w:p>
        </w:tc>
      </w:tr>
      <w:tr w:rsidR="00063798" w:rsidRPr="00063798" w14:paraId="2F83C13E" w14:textId="77777777" w:rsidTr="00063798">
        <w:trPr>
          <w:trHeight w:val="300"/>
        </w:trPr>
        <w:tc>
          <w:tcPr>
            <w:tcW w:w="2440" w:type="dxa"/>
            <w:tcBorders>
              <w:top w:val="nil"/>
              <w:left w:val="nil"/>
              <w:bottom w:val="nil"/>
              <w:right w:val="nil"/>
            </w:tcBorders>
            <w:shd w:val="clear" w:color="auto" w:fill="auto"/>
            <w:noWrap/>
            <w:vAlign w:val="center"/>
            <w:hideMark/>
          </w:tcPr>
          <w:p w14:paraId="184F1227"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2019:</w:t>
            </w:r>
          </w:p>
        </w:tc>
        <w:tc>
          <w:tcPr>
            <w:tcW w:w="1540" w:type="dxa"/>
            <w:tcBorders>
              <w:top w:val="nil"/>
              <w:left w:val="nil"/>
              <w:bottom w:val="nil"/>
              <w:right w:val="nil"/>
            </w:tcBorders>
            <w:shd w:val="clear" w:color="auto" w:fill="auto"/>
            <w:noWrap/>
            <w:vAlign w:val="center"/>
            <w:hideMark/>
          </w:tcPr>
          <w:p w14:paraId="2C78162B" w14:textId="77777777" w:rsidR="00063798" w:rsidRPr="00063798" w:rsidRDefault="00063798" w:rsidP="00063798">
            <w:pPr>
              <w:spacing w:after="0" w:line="240" w:lineRule="auto"/>
              <w:jc w:val="both"/>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hideMark/>
          </w:tcPr>
          <w:p w14:paraId="15F74BB6"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1,035,862.28 </w:t>
            </w:r>
          </w:p>
        </w:tc>
        <w:tc>
          <w:tcPr>
            <w:tcW w:w="1600" w:type="dxa"/>
            <w:tcBorders>
              <w:top w:val="nil"/>
              <w:left w:val="nil"/>
              <w:bottom w:val="nil"/>
              <w:right w:val="nil"/>
            </w:tcBorders>
            <w:shd w:val="clear" w:color="auto" w:fill="auto"/>
            <w:noWrap/>
            <w:vAlign w:val="center"/>
            <w:hideMark/>
          </w:tcPr>
          <w:p w14:paraId="4B2041A9" w14:textId="77777777" w:rsidR="00063798" w:rsidRPr="00063798" w:rsidRDefault="00063798" w:rsidP="00063798">
            <w:pPr>
              <w:spacing w:after="0" w:line="240" w:lineRule="auto"/>
              <w:jc w:val="both"/>
              <w:rPr>
                <w:rFonts w:eastAsia="Times New Roman" w:cs="Calibri"/>
                <w:color w:val="000000"/>
                <w:sz w:val="20"/>
                <w:szCs w:val="20"/>
                <w:lang w:eastAsia="es-MX"/>
              </w:rPr>
            </w:pPr>
          </w:p>
        </w:tc>
      </w:tr>
      <w:tr w:rsidR="00063798" w:rsidRPr="00063798" w14:paraId="52014BAB" w14:textId="77777777" w:rsidTr="00063798">
        <w:trPr>
          <w:trHeight w:val="300"/>
        </w:trPr>
        <w:tc>
          <w:tcPr>
            <w:tcW w:w="2440" w:type="dxa"/>
            <w:tcBorders>
              <w:top w:val="nil"/>
              <w:left w:val="nil"/>
              <w:bottom w:val="nil"/>
              <w:right w:val="nil"/>
            </w:tcBorders>
            <w:shd w:val="clear" w:color="auto" w:fill="auto"/>
            <w:noWrap/>
            <w:vAlign w:val="center"/>
            <w:hideMark/>
          </w:tcPr>
          <w:p w14:paraId="6C9940FC"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2020:</w:t>
            </w:r>
          </w:p>
        </w:tc>
        <w:tc>
          <w:tcPr>
            <w:tcW w:w="1540" w:type="dxa"/>
            <w:tcBorders>
              <w:top w:val="nil"/>
              <w:left w:val="nil"/>
              <w:bottom w:val="nil"/>
              <w:right w:val="nil"/>
            </w:tcBorders>
            <w:shd w:val="clear" w:color="auto" w:fill="auto"/>
            <w:noWrap/>
            <w:vAlign w:val="center"/>
            <w:hideMark/>
          </w:tcPr>
          <w:p w14:paraId="4E5EFF1A"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2,891,096.22 </w:t>
            </w:r>
          </w:p>
        </w:tc>
        <w:tc>
          <w:tcPr>
            <w:tcW w:w="1540" w:type="dxa"/>
            <w:tcBorders>
              <w:top w:val="nil"/>
              <w:left w:val="nil"/>
              <w:bottom w:val="nil"/>
              <w:right w:val="nil"/>
            </w:tcBorders>
            <w:shd w:val="clear" w:color="auto" w:fill="auto"/>
            <w:noWrap/>
            <w:vAlign w:val="center"/>
            <w:hideMark/>
          </w:tcPr>
          <w:p w14:paraId="2D6D7684"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1,000,000.00 </w:t>
            </w:r>
          </w:p>
        </w:tc>
        <w:tc>
          <w:tcPr>
            <w:tcW w:w="1600" w:type="dxa"/>
            <w:tcBorders>
              <w:top w:val="nil"/>
              <w:left w:val="nil"/>
              <w:bottom w:val="nil"/>
              <w:right w:val="nil"/>
            </w:tcBorders>
            <w:shd w:val="clear" w:color="auto" w:fill="auto"/>
            <w:noWrap/>
            <w:vAlign w:val="center"/>
            <w:hideMark/>
          </w:tcPr>
          <w:p w14:paraId="5B687946" w14:textId="40FB42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w:t>
            </w:r>
            <w:r w:rsidR="00015BA2" w:rsidRPr="00015BA2">
              <w:rPr>
                <w:rFonts w:eastAsia="Times New Roman" w:cs="Calibri"/>
                <w:color w:val="000000"/>
                <w:sz w:val="20"/>
                <w:szCs w:val="20"/>
                <w:lang w:eastAsia="es-MX"/>
              </w:rPr>
              <w:t>3,430,014.36</w:t>
            </w:r>
          </w:p>
        </w:tc>
      </w:tr>
      <w:tr w:rsidR="00063798" w:rsidRPr="00063798" w14:paraId="554625B5" w14:textId="77777777" w:rsidTr="00063798">
        <w:trPr>
          <w:trHeight w:val="300"/>
        </w:trPr>
        <w:tc>
          <w:tcPr>
            <w:tcW w:w="2440" w:type="dxa"/>
            <w:tcBorders>
              <w:top w:val="nil"/>
              <w:left w:val="nil"/>
              <w:bottom w:val="nil"/>
              <w:right w:val="nil"/>
            </w:tcBorders>
            <w:shd w:val="clear" w:color="auto" w:fill="auto"/>
            <w:noWrap/>
            <w:vAlign w:val="center"/>
            <w:hideMark/>
          </w:tcPr>
          <w:p w14:paraId="16C0C5C7"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2019:</w:t>
            </w:r>
          </w:p>
        </w:tc>
        <w:tc>
          <w:tcPr>
            <w:tcW w:w="1540" w:type="dxa"/>
            <w:tcBorders>
              <w:top w:val="nil"/>
              <w:left w:val="nil"/>
              <w:bottom w:val="nil"/>
              <w:right w:val="nil"/>
            </w:tcBorders>
            <w:shd w:val="clear" w:color="auto" w:fill="auto"/>
            <w:noWrap/>
            <w:vAlign w:val="center"/>
            <w:hideMark/>
          </w:tcPr>
          <w:p w14:paraId="7C7010EC" w14:textId="77777777" w:rsidR="00063798" w:rsidRPr="00063798" w:rsidRDefault="00063798" w:rsidP="00063798">
            <w:pPr>
              <w:spacing w:after="0" w:line="240" w:lineRule="auto"/>
              <w:jc w:val="both"/>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hideMark/>
          </w:tcPr>
          <w:p w14:paraId="72461F53"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73,694.16 </w:t>
            </w:r>
          </w:p>
        </w:tc>
        <w:tc>
          <w:tcPr>
            <w:tcW w:w="1600" w:type="dxa"/>
            <w:tcBorders>
              <w:top w:val="nil"/>
              <w:left w:val="nil"/>
              <w:bottom w:val="nil"/>
              <w:right w:val="nil"/>
            </w:tcBorders>
            <w:shd w:val="clear" w:color="auto" w:fill="auto"/>
            <w:noWrap/>
            <w:vAlign w:val="center"/>
            <w:hideMark/>
          </w:tcPr>
          <w:p w14:paraId="072C9B15" w14:textId="77777777" w:rsidR="00063798" w:rsidRPr="00063798" w:rsidRDefault="00063798" w:rsidP="00063798">
            <w:pPr>
              <w:spacing w:after="0" w:line="240" w:lineRule="auto"/>
              <w:jc w:val="both"/>
              <w:rPr>
                <w:rFonts w:eastAsia="Times New Roman" w:cs="Calibri"/>
                <w:color w:val="000000"/>
                <w:sz w:val="20"/>
                <w:szCs w:val="20"/>
                <w:lang w:eastAsia="es-MX"/>
              </w:rPr>
            </w:pPr>
          </w:p>
        </w:tc>
      </w:tr>
      <w:tr w:rsidR="00063798" w:rsidRPr="00063798" w14:paraId="539AF6E2" w14:textId="77777777" w:rsidTr="00063798">
        <w:trPr>
          <w:trHeight w:val="300"/>
        </w:trPr>
        <w:tc>
          <w:tcPr>
            <w:tcW w:w="2440" w:type="dxa"/>
            <w:tcBorders>
              <w:top w:val="nil"/>
              <w:left w:val="nil"/>
              <w:bottom w:val="nil"/>
              <w:right w:val="nil"/>
            </w:tcBorders>
            <w:shd w:val="clear" w:color="auto" w:fill="auto"/>
            <w:noWrap/>
            <w:vAlign w:val="center"/>
            <w:hideMark/>
          </w:tcPr>
          <w:p w14:paraId="7F21699E"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2020:</w:t>
            </w:r>
          </w:p>
        </w:tc>
        <w:tc>
          <w:tcPr>
            <w:tcW w:w="1540" w:type="dxa"/>
            <w:tcBorders>
              <w:top w:val="nil"/>
              <w:left w:val="nil"/>
              <w:bottom w:val="nil"/>
              <w:right w:val="nil"/>
            </w:tcBorders>
            <w:shd w:val="clear" w:color="auto" w:fill="auto"/>
            <w:noWrap/>
            <w:vAlign w:val="center"/>
            <w:hideMark/>
          </w:tcPr>
          <w:p w14:paraId="3FDDBC92" w14:textId="77777777" w:rsidR="00063798" w:rsidRPr="00063798" w:rsidRDefault="00063798" w:rsidP="00063798">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500,000.00 </w:t>
            </w:r>
          </w:p>
        </w:tc>
        <w:tc>
          <w:tcPr>
            <w:tcW w:w="1540" w:type="dxa"/>
            <w:tcBorders>
              <w:top w:val="nil"/>
              <w:left w:val="nil"/>
              <w:bottom w:val="nil"/>
              <w:right w:val="nil"/>
            </w:tcBorders>
            <w:shd w:val="clear" w:color="auto" w:fill="auto"/>
            <w:noWrap/>
            <w:vAlign w:val="center"/>
            <w:hideMark/>
          </w:tcPr>
          <w:p w14:paraId="389815B7" w14:textId="731D6154" w:rsidR="00063798" w:rsidRPr="00063798" w:rsidRDefault="00063798" w:rsidP="00423767">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w:t>
            </w:r>
            <w:r w:rsidR="00423767" w:rsidRPr="00423767">
              <w:rPr>
                <w:rFonts w:eastAsia="Times New Roman" w:cs="Calibri"/>
                <w:color w:val="000000"/>
                <w:sz w:val="20"/>
                <w:szCs w:val="20"/>
                <w:lang w:eastAsia="es-MX"/>
              </w:rPr>
              <w:t xml:space="preserve"> 1,016,665.00</w:t>
            </w:r>
          </w:p>
        </w:tc>
        <w:tc>
          <w:tcPr>
            <w:tcW w:w="1600" w:type="dxa"/>
            <w:tcBorders>
              <w:top w:val="nil"/>
              <w:left w:val="nil"/>
              <w:bottom w:val="nil"/>
              <w:right w:val="nil"/>
            </w:tcBorders>
            <w:shd w:val="clear" w:color="auto" w:fill="auto"/>
            <w:noWrap/>
            <w:vAlign w:val="center"/>
            <w:hideMark/>
          </w:tcPr>
          <w:p w14:paraId="3D85DDCE" w14:textId="03AD9AA4" w:rsidR="00063798" w:rsidRPr="00063798" w:rsidRDefault="00063798" w:rsidP="00015BA2">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w:t>
            </w:r>
            <w:r w:rsidR="00015BA2">
              <w:rPr>
                <w:rFonts w:eastAsia="Times New Roman" w:cs="Calibri"/>
                <w:color w:val="000000"/>
                <w:sz w:val="20"/>
                <w:szCs w:val="20"/>
                <w:lang w:eastAsia="es-MX"/>
              </w:rPr>
              <w:t>626,404</w:t>
            </w:r>
            <w:r w:rsidR="00E62F38" w:rsidRPr="00E62F38">
              <w:rPr>
                <w:rFonts w:eastAsia="Times New Roman" w:cs="Calibri"/>
                <w:color w:val="000000"/>
                <w:sz w:val="20"/>
                <w:szCs w:val="20"/>
                <w:lang w:eastAsia="es-MX"/>
              </w:rPr>
              <w:t>.00</w:t>
            </w:r>
          </w:p>
        </w:tc>
      </w:tr>
      <w:tr w:rsidR="00063798" w:rsidRPr="00063798" w14:paraId="5E6E5587" w14:textId="77777777" w:rsidTr="00063798">
        <w:trPr>
          <w:trHeight w:val="300"/>
        </w:trPr>
        <w:tc>
          <w:tcPr>
            <w:tcW w:w="2440" w:type="dxa"/>
            <w:tcBorders>
              <w:top w:val="single" w:sz="4" w:space="0" w:color="auto"/>
              <w:left w:val="nil"/>
              <w:bottom w:val="nil"/>
              <w:right w:val="nil"/>
            </w:tcBorders>
            <w:shd w:val="clear" w:color="auto" w:fill="auto"/>
            <w:noWrap/>
            <w:vAlign w:val="center"/>
            <w:hideMark/>
          </w:tcPr>
          <w:p w14:paraId="7AFE2E24" w14:textId="77777777"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Total Ingresos</w:t>
            </w:r>
          </w:p>
        </w:tc>
        <w:tc>
          <w:tcPr>
            <w:tcW w:w="1540" w:type="dxa"/>
            <w:tcBorders>
              <w:top w:val="single" w:sz="4" w:space="0" w:color="auto"/>
              <w:left w:val="nil"/>
              <w:bottom w:val="nil"/>
              <w:right w:val="nil"/>
            </w:tcBorders>
            <w:shd w:val="clear" w:color="auto" w:fill="auto"/>
            <w:noWrap/>
            <w:vAlign w:val="center"/>
            <w:hideMark/>
          </w:tcPr>
          <w:p w14:paraId="043D0674" w14:textId="77777777"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$ 36,771,320.08 </w:t>
            </w:r>
          </w:p>
        </w:tc>
        <w:tc>
          <w:tcPr>
            <w:tcW w:w="1540" w:type="dxa"/>
            <w:tcBorders>
              <w:top w:val="single" w:sz="4" w:space="0" w:color="auto"/>
              <w:left w:val="nil"/>
              <w:bottom w:val="nil"/>
              <w:right w:val="nil"/>
            </w:tcBorders>
            <w:shd w:val="clear" w:color="auto" w:fill="auto"/>
            <w:noWrap/>
            <w:vAlign w:val="center"/>
            <w:hideMark/>
          </w:tcPr>
          <w:p w14:paraId="342D4EDB" w14:textId="11C5C5D9" w:rsidR="00063798" w:rsidRPr="00063798" w:rsidRDefault="00063798" w:rsidP="00E62F3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423767" w:rsidRPr="00423767">
              <w:rPr>
                <w:rFonts w:eastAsia="Times New Roman" w:cs="Calibri"/>
                <w:b/>
                <w:bCs/>
                <w:color w:val="000000"/>
                <w:sz w:val="20"/>
                <w:szCs w:val="20"/>
                <w:lang w:eastAsia="es-MX"/>
              </w:rPr>
              <w:t>9,853,200.25</w:t>
            </w:r>
          </w:p>
        </w:tc>
        <w:tc>
          <w:tcPr>
            <w:tcW w:w="1600" w:type="dxa"/>
            <w:tcBorders>
              <w:top w:val="single" w:sz="4" w:space="0" w:color="auto"/>
              <w:left w:val="nil"/>
              <w:bottom w:val="nil"/>
              <w:right w:val="nil"/>
            </w:tcBorders>
            <w:shd w:val="clear" w:color="auto" w:fill="auto"/>
            <w:noWrap/>
            <w:vAlign w:val="center"/>
            <w:hideMark/>
          </w:tcPr>
          <w:p w14:paraId="493702AC" w14:textId="5F576964"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015BA2" w:rsidRPr="00015BA2">
              <w:rPr>
                <w:rFonts w:eastAsia="Times New Roman" w:cs="Calibri"/>
                <w:b/>
                <w:bCs/>
                <w:color w:val="000000"/>
                <w:sz w:val="20"/>
                <w:szCs w:val="20"/>
                <w:lang w:eastAsia="es-MX"/>
              </w:rPr>
              <w:t>38,636,641.71</w:t>
            </w:r>
          </w:p>
        </w:tc>
      </w:tr>
    </w:tbl>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tbl>
      <w:tblPr>
        <w:tblW w:w="7120" w:type="dxa"/>
        <w:tblInd w:w="-10" w:type="dxa"/>
        <w:tblCellMar>
          <w:left w:w="70" w:type="dxa"/>
          <w:right w:w="70" w:type="dxa"/>
        </w:tblCellMar>
        <w:tblLook w:val="04A0" w:firstRow="1" w:lastRow="0" w:firstColumn="1" w:lastColumn="0" w:noHBand="0" w:noVBand="1"/>
      </w:tblPr>
      <w:tblGrid>
        <w:gridCol w:w="2440"/>
        <w:gridCol w:w="1540"/>
        <w:gridCol w:w="1540"/>
        <w:gridCol w:w="1600"/>
      </w:tblGrid>
      <w:tr w:rsidR="00063798" w:rsidRPr="00063798" w14:paraId="4E65329A" w14:textId="77777777" w:rsidTr="006A2634">
        <w:trPr>
          <w:trHeight w:val="510"/>
        </w:trPr>
        <w:tc>
          <w:tcPr>
            <w:tcW w:w="2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7B1FC9" w14:textId="77777777" w:rsidR="00063798" w:rsidRPr="00063798" w:rsidRDefault="00063798" w:rsidP="0006379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FONDO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0B7F2E73" w14:textId="4CC035BC"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AUTORIZADO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2925AFBF" w14:textId="04DA5959" w:rsidR="00063798" w:rsidRPr="00063798" w:rsidRDefault="00063798" w:rsidP="00E62F3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AMPLIACIÓN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25D3EE2E" w14:textId="5D4D188E"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EJERCIDO</w:t>
            </w:r>
          </w:p>
        </w:tc>
      </w:tr>
      <w:tr w:rsidR="006A2634" w:rsidRPr="00063798" w14:paraId="6E185BF8" w14:textId="77777777" w:rsidTr="006A2634">
        <w:trPr>
          <w:trHeight w:val="300"/>
        </w:trPr>
        <w:tc>
          <w:tcPr>
            <w:tcW w:w="2440" w:type="dxa"/>
            <w:tcBorders>
              <w:top w:val="nil"/>
              <w:left w:val="nil"/>
              <w:bottom w:val="nil"/>
              <w:right w:val="nil"/>
            </w:tcBorders>
            <w:shd w:val="clear" w:color="auto" w:fill="auto"/>
            <w:noWrap/>
            <w:vAlign w:val="center"/>
            <w:hideMark/>
          </w:tcPr>
          <w:p w14:paraId="1B531A42"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2019:</w:t>
            </w:r>
          </w:p>
        </w:tc>
        <w:tc>
          <w:tcPr>
            <w:tcW w:w="1540" w:type="dxa"/>
            <w:tcBorders>
              <w:top w:val="nil"/>
              <w:left w:val="nil"/>
              <w:bottom w:val="nil"/>
              <w:right w:val="nil"/>
            </w:tcBorders>
            <w:shd w:val="clear" w:color="auto" w:fill="auto"/>
            <w:noWrap/>
            <w:vAlign w:val="center"/>
            <w:hideMark/>
          </w:tcPr>
          <w:p w14:paraId="5E23276C" w14:textId="77777777" w:rsidR="006A2634" w:rsidRPr="00063798" w:rsidRDefault="006A2634" w:rsidP="006A2634">
            <w:pPr>
              <w:spacing w:after="0" w:line="240" w:lineRule="auto"/>
              <w:jc w:val="both"/>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hideMark/>
          </w:tcPr>
          <w:p w14:paraId="05AC4516"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5,526,978.81 </w:t>
            </w:r>
          </w:p>
        </w:tc>
        <w:tc>
          <w:tcPr>
            <w:tcW w:w="1600" w:type="dxa"/>
            <w:tcBorders>
              <w:top w:val="nil"/>
              <w:left w:val="nil"/>
              <w:bottom w:val="nil"/>
              <w:right w:val="nil"/>
            </w:tcBorders>
            <w:shd w:val="clear" w:color="auto" w:fill="auto"/>
            <w:noWrap/>
            <w:hideMark/>
          </w:tcPr>
          <w:p w14:paraId="3CE31138" w14:textId="376C8C23" w:rsidR="006A2634" w:rsidRPr="00015BA2" w:rsidRDefault="00015BA2" w:rsidP="00015BA2">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015BA2">
              <w:rPr>
                <w:rFonts w:eastAsia="Times New Roman" w:cs="Calibri"/>
                <w:color w:val="000000"/>
                <w:sz w:val="20"/>
                <w:szCs w:val="20"/>
                <w:lang w:eastAsia="es-MX"/>
              </w:rPr>
              <w:t>5,526,978.81</w:t>
            </w:r>
          </w:p>
        </w:tc>
      </w:tr>
      <w:tr w:rsidR="006A2634" w:rsidRPr="00063798" w14:paraId="1BD4F5CA" w14:textId="77777777" w:rsidTr="006A2634">
        <w:trPr>
          <w:trHeight w:val="300"/>
        </w:trPr>
        <w:tc>
          <w:tcPr>
            <w:tcW w:w="2440" w:type="dxa"/>
            <w:tcBorders>
              <w:top w:val="nil"/>
              <w:left w:val="nil"/>
              <w:bottom w:val="nil"/>
              <w:right w:val="nil"/>
            </w:tcBorders>
            <w:shd w:val="clear" w:color="auto" w:fill="auto"/>
            <w:noWrap/>
            <w:vAlign w:val="center"/>
            <w:hideMark/>
          </w:tcPr>
          <w:p w14:paraId="378D3600"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2020:</w:t>
            </w:r>
          </w:p>
        </w:tc>
        <w:tc>
          <w:tcPr>
            <w:tcW w:w="1540" w:type="dxa"/>
            <w:tcBorders>
              <w:top w:val="nil"/>
              <w:left w:val="nil"/>
              <w:bottom w:val="nil"/>
              <w:right w:val="nil"/>
            </w:tcBorders>
            <w:shd w:val="clear" w:color="auto" w:fill="auto"/>
            <w:noWrap/>
            <w:vAlign w:val="center"/>
            <w:hideMark/>
          </w:tcPr>
          <w:p w14:paraId="3F5D700C"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$ 33,380,223.86 </w:t>
            </w:r>
          </w:p>
        </w:tc>
        <w:tc>
          <w:tcPr>
            <w:tcW w:w="1540" w:type="dxa"/>
            <w:tcBorders>
              <w:top w:val="nil"/>
              <w:left w:val="nil"/>
              <w:bottom w:val="nil"/>
              <w:right w:val="nil"/>
            </w:tcBorders>
            <w:shd w:val="clear" w:color="auto" w:fill="auto"/>
            <w:noWrap/>
            <w:vAlign w:val="center"/>
            <w:hideMark/>
          </w:tcPr>
          <w:p w14:paraId="7EA05239"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1,200,000.00 </w:t>
            </w:r>
          </w:p>
        </w:tc>
        <w:tc>
          <w:tcPr>
            <w:tcW w:w="1600" w:type="dxa"/>
            <w:tcBorders>
              <w:top w:val="nil"/>
              <w:left w:val="nil"/>
              <w:bottom w:val="nil"/>
              <w:right w:val="nil"/>
            </w:tcBorders>
            <w:shd w:val="clear" w:color="auto" w:fill="auto"/>
            <w:noWrap/>
            <w:hideMark/>
          </w:tcPr>
          <w:p w14:paraId="677F5B0D" w14:textId="0AF32A53" w:rsidR="006A2634" w:rsidRPr="00015BA2" w:rsidRDefault="00015BA2" w:rsidP="00015BA2">
            <w:pPr>
              <w:spacing w:after="0" w:line="240" w:lineRule="auto"/>
              <w:jc w:val="both"/>
              <w:rPr>
                <w:rFonts w:eastAsia="Times New Roman" w:cs="Calibri"/>
                <w:color w:val="000000"/>
                <w:sz w:val="20"/>
                <w:szCs w:val="20"/>
                <w:lang w:eastAsia="es-MX"/>
              </w:rPr>
            </w:pPr>
            <w:r>
              <w:rPr>
                <w:sz w:val="20"/>
                <w:szCs w:val="20"/>
              </w:rPr>
              <w:t>$    3</w:t>
            </w:r>
            <w:r w:rsidRPr="00015BA2">
              <w:rPr>
                <w:sz w:val="20"/>
                <w:szCs w:val="20"/>
              </w:rPr>
              <w:t>0,827,749.97</w:t>
            </w:r>
          </w:p>
        </w:tc>
      </w:tr>
      <w:tr w:rsidR="006A2634" w:rsidRPr="00063798" w14:paraId="3A587292" w14:textId="77777777" w:rsidTr="006A2634">
        <w:trPr>
          <w:trHeight w:val="300"/>
        </w:trPr>
        <w:tc>
          <w:tcPr>
            <w:tcW w:w="2440" w:type="dxa"/>
            <w:tcBorders>
              <w:top w:val="nil"/>
              <w:left w:val="nil"/>
              <w:bottom w:val="nil"/>
              <w:right w:val="nil"/>
            </w:tcBorders>
            <w:shd w:val="clear" w:color="auto" w:fill="auto"/>
            <w:noWrap/>
            <w:vAlign w:val="center"/>
            <w:hideMark/>
          </w:tcPr>
          <w:p w14:paraId="53E607B8"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2019:</w:t>
            </w:r>
          </w:p>
        </w:tc>
        <w:tc>
          <w:tcPr>
            <w:tcW w:w="1540" w:type="dxa"/>
            <w:tcBorders>
              <w:top w:val="nil"/>
              <w:left w:val="nil"/>
              <w:bottom w:val="nil"/>
              <w:right w:val="nil"/>
            </w:tcBorders>
            <w:shd w:val="clear" w:color="auto" w:fill="auto"/>
            <w:noWrap/>
            <w:vAlign w:val="center"/>
            <w:hideMark/>
          </w:tcPr>
          <w:p w14:paraId="3AC306AB" w14:textId="77777777" w:rsidR="006A2634" w:rsidRPr="00063798" w:rsidRDefault="006A2634" w:rsidP="006A2634">
            <w:pPr>
              <w:spacing w:after="0" w:line="240" w:lineRule="auto"/>
              <w:jc w:val="both"/>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hideMark/>
          </w:tcPr>
          <w:p w14:paraId="66E3AC61"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1,035,862.28 </w:t>
            </w:r>
          </w:p>
        </w:tc>
        <w:tc>
          <w:tcPr>
            <w:tcW w:w="1600" w:type="dxa"/>
            <w:tcBorders>
              <w:top w:val="nil"/>
              <w:left w:val="nil"/>
              <w:bottom w:val="nil"/>
              <w:right w:val="nil"/>
            </w:tcBorders>
            <w:shd w:val="clear" w:color="auto" w:fill="auto"/>
            <w:noWrap/>
            <w:hideMark/>
          </w:tcPr>
          <w:p w14:paraId="4758F269" w14:textId="323DC789" w:rsidR="006A2634" w:rsidRPr="00015BA2" w:rsidRDefault="00015BA2" w:rsidP="00015BA2">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 xml:space="preserve">$  </w:t>
            </w:r>
            <w:r w:rsidR="00423767">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063798">
              <w:rPr>
                <w:rFonts w:eastAsia="Times New Roman" w:cs="Calibri"/>
                <w:color w:val="000000"/>
                <w:sz w:val="20"/>
                <w:szCs w:val="20"/>
                <w:lang w:eastAsia="es-MX"/>
              </w:rPr>
              <w:t>1,035,862.28</w:t>
            </w:r>
          </w:p>
        </w:tc>
      </w:tr>
      <w:tr w:rsidR="006A2634" w:rsidRPr="00063798" w14:paraId="159B8CD5" w14:textId="77777777" w:rsidTr="006A2634">
        <w:trPr>
          <w:trHeight w:val="300"/>
        </w:trPr>
        <w:tc>
          <w:tcPr>
            <w:tcW w:w="2440" w:type="dxa"/>
            <w:tcBorders>
              <w:top w:val="nil"/>
              <w:left w:val="nil"/>
              <w:bottom w:val="nil"/>
              <w:right w:val="nil"/>
            </w:tcBorders>
            <w:shd w:val="clear" w:color="auto" w:fill="auto"/>
            <w:noWrap/>
            <w:vAlign w:val="center"/>
            <w:hideMark/>
          </w:tcPr>
          <w:p w14:paraId="6E302F5E"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2020:</w:t>
            </w:r>
          </w:p>
        </w:tc>
        <w:tc>
          <w:tcPr>
            <w:tcW w:w="1540" w:type="dxa"/>
            <w:tcBorders>
              <w:top w:val="nil"/>
              <w:left w:val="nil"/>
              <w:bottom w:val="nil"/>
              <w:right w:val="nil"/>
            </w:tcBorders>
            <w:shd w:val="clear" w:color="auto" w:fill="auto"/>
            <w:noWrap/>
            <w:vAlign w:val="center"/>
            <w:hideMark/>
          </w:tcPr>
          <w:p w14:paraId="49960B4E"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2,891,096.22 </w:t>
            </w:r>
          </w:p>
        </w:tc>
        <w:tc>
          <w:tcPr>
            <w:tcW w:w="1540" w:type="dxa"/>
            <w:tcBorders>
              <w:top w:val="nil"/>
              <w:left w:val="nil"/>
              <w:bottom w:val="nil"/>
              <w:right w:val="nil"/>
            </w:tcBorders>
            <w:shd w:val="clear" w:color="auto" w:fill="auto"/>
            <w:noWrap/>
            <w:vAlign w:val="center"/>
            <w:hideMark/>
          </w:tcPr>
          <w:p w14:paraId="1C3C8761"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1,000,000.00 </w:t>
            </w:r>
          </w:p>
        </w:tc>
        <w:tc>
          <w:tcPr>
            <w:tcW w:w="1600" w:type="dxa"/>
            <w:tcBorders>
              <w:top w:val="nil"/>
              <w:left w:val="nil"/>
              <w:bottom w:val="nil"/>
              <w:right w:val="nil"/>
            </w:tcBorders>
            <w:shd w:val="clear" w:color="auto" w:fill="auto"/>
            <w:noWrap/>
            <w:hideMark/>
          </w:tcPr>
          <w:p w14:paraId="5922581F" w14:textId="071CB095" w:rsidR="006A2634" w:rsidRPr="00015BA2" w:rsidRDefault="00423767" w:rsidP="00015BA2">
            <w:pPr>
              <w:spacing w:after="0" w:line="240" w:lineRule="auto"/>
              <w:jc w:val="both"/>
              <w:rPr>
                <w:rFonts w:eastAsia="Times New Roman" w:cs="Calibri"/>
                <w:color w:val="000000"/>
                <w:sz w:val="20"/>
                <w:szCs w:val="20"/>
                <w:lang w:eastAsia="es-MX"/>
              </w:rPr>
            </w:pPr>
            <w:r>
              <w:rPr>
                <w:sz w:val="20"/>
                <w:szCs w:val="20"/>
              </w:rPr>
              <w:t xml:space="preserve">$       </w:t>
            </w:r>
            <w:r w:rsidRPr="00423767">
              <w:rPr>
                <w:sz w:val="20"/>
                <w:szCs w:val="20"/>
              </w:rPr>
              <w:t>2,581,511.57</w:t>
            </w:r>
          </w:p>
        </w:tc>
      </w:tr>
      <w:tr w:rsidR="006A2634" w:rsidRPr="00063798" w14:paraId="1B441AF2" w14:textId="77777777" w:rsidTr="006A2634">
        <w:trPr>
          <w:trHeight w:val="300"/>
        </w:trPr>
        <w:tc>
          <w:tcPr>
            <w:tcW w:w="2440" w:type="dxa"/>
            <w:tcBorders>
              <w:top w:val="nil"/>
              <w:left w:val="nil"/>
              <w:bottom w:val="nil"/>
              <w:right w:val="nil"/>
            </w:tcBorders>
            <w:shd w:val="clear" w:color="auto" w:fill="auto"/>
            <w:noWrap/>
            <w:vAlign w:val="center"/>
            <w:hideMark/>
          </w:tcPr>
          <w:p w14:paraId="0B768C9E"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2019:</w:t>
            </w:r>
          </w:p>
        </w:tc>
        <w:tc>
          <w:tcPr>
            <w:tcW w:w="1540" w:type="dxa"/>
            <w:tcBorders>
              <w:top w:val="nil"/>
              <w:left w:val="nil"/>
              <w:bottom w:val="nil"/>
              <w:right w:val="nil"/>
            </w:tcBorders>
            <w:shd w:val="clear" w:color="auto" w:fill="auto"/>
            <w:noWrap/>
            <w:vAlign w:val="center"/>
            <w:hideMark/>
          </w:tcPr>
          <w:p w14:paraId="5DFD3694" w14:textId="77777777" w:rsidR="006A2634" w:rsidRPr="00063798" w:rsidRDefault="006A2634" w:rsidP="006A2634">
            <w:pPr>
              <w:spacing w:after="0" w:line="240" w:lineRule="auto"/>
              <w:jc w:val="both"/>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hideMark/>
          </w:tcPr>
          <w:p w14:paraId="5623B9E9"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73,694.16 </w:t>
            </w:r>
          </w:p>
        </w:tc>
        <w:tc>
          <w:tcPr>
            <w:tcW w:w="1600" w:type="dxa"/>
            <w:tcBorders>
              <w:top w:val="nil"/>
              <w:left w:val="nil"/>
              <w:bottom w:val="nil"/>
              <w:right w:val="nil"/>
            </w:tcBorders>
            <w:shd w:val="clear" w:color="auto" w:fill="auto"/>
            <w:noWrap/>
            <w:hideMark/>
          </w:tcPr>
          <w:p w14:paraId="339FF9EF" w14:textId="3AA55DF7" w:rsidR="006A2634" w:rsidRPr="00015BA2" w:rsidRDefault="00015BA2" w:rsidP="00015BA2">
            <w:pPr>
              <w:spacing w:after="0" w:line="240" w:lineRule="auto"/>
              <w:jc w:val="both"/>
              <w:rPr>
                <w:rFonts w:eastAsia="Times New Roman" w:cs="Calibri"/>
                <w:color w:val="000000"/>
                <w:sz w:val="20"/>
                <w:szCs w:val="20"/>
                <w:lang w:eastAsia="es-MX"/>
              </w:rPr>
            </w:pPr>
            <w:r>
              <w:rPr>
                <w:sz w:val="20"/>
                <w:szCs w:val="20"/>
              </w:rPr>
              <w:t xml:space="preserve">$      </w:t>
            </w:r>
            <w:r w:rsidR="00423767">
              <w:rPr>
                <w:sz w:val="20"/>
                <w:szCs w:val="20"/>
              </w:rPr>
              <w:t xml:space="preserve">   </w:t>
            </w:r>
            <w:r w:rsidR="006A2634" w:rsidRPr="00015BA2">
              <w:rPr>
                <w:sz w:val="20"/>
                <w:szCs w:val="20"/>
              </w:rPr>
              <w:t xml:space="preserve">    73,694.15</w:t>
            </w:r>
          </w:p>
        </w:tc>
      </w:tr>
      <w:tr w:rsidR="006A2634" w:rsidRPr="00063798" w14:paraId="010FA649" w14:textId="77777777" w:rsidTr="006A2634">
        <w:trPr>
          <w:trHeight w:val="300"/>
        </w:trPr>
        <w:tc>
          <w:tcPr>
            <w:tcW w:w="2440" w:type="dxa"/>
            <w:tcBorders>
              <w:top w:val="nil"/>
              <w:left w:val="nil"/>
              <w:bottom w:val="nil"/>
              <w:right w:val="nil"/>
            </w:tcBorders>
            <w:shd w:val="clear" w:color="auto" w:fill="auto"/>
            <w:noWrap/>
            <w:vAlign w:val="center"/>
            <w:hideMark/>
          </w:tcPr>
          <w:p w14:paraId="1ECA7694"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2020:</w:t>
            </w:r>
          </w:p>
        </w:tc>
        <w:tc>
          <w:tcPr>
            <w:tcW w:w="1540" w:type="dxa"/>
            <w:tcBorders>
              <w:top w:val="nil"/>
              <w:left w:val="nil"/>
              <w:bottom w:val="nil"/>
              <w:right w:val="nil"/>
            </w:tcBorders>
            <w:shd w:val="clear" w:color="auto" w:fill="auto"/>
            <w:noWrap/>
            <w:vAlign w:val="center"/>
            <w:hideMark/>
          </w:tcPr>
          <w:p w14:paraId="5833DC3D" w14:textId="77777777" w:rsidR="006A2634" w:rsidRPr="00063798" w:rsidRDefault="006A2634" w:rsidP="006A2634">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 xml:space="preserve"> $       500,000.00 </w:t>
            </w:r>
          </w:p>
        </w:tc>
        <w:tc>
          <w:tcPr>
            <w:tcW w:w="1540" w:type="dxa"/>
            <w:tcBorders>
              <w:top w:val="nil"/>
              <w:left w:val="nil"/>
              <w:bottom w:val="nil"/>
              <w:right w:val="nil"/>
            </w:tcBorders>
            <w:shd w:val="clear" w:color="auto" w:fill="auto"/>
            <w:noWrap/>
            <w:vAlign w:val="center"/>
            <w:hideMark/>
          </w:tcPr>
          <w:p w14:paraId="5894ED25" w14:textId="2A94326C" w:rsidR="006A2634" w:rsidRPr="00063798" w:rsidRDefault="006A2634" w:rsidP="00423767">
            <w:pPr>
              <w:spacing w:after="0" w:line="240" w:lineRule="auto"/>
              <w:jc w:val="both"/>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063798">
              <w:rPr>
                <w:rFonts w:eastAsia="Times New Roman" w:cs="Calibri"/>
                <w:color w:val="000000"/>
                <w:sz w:val="20"/>
                <w:szCs w:val="20"/>
                <w:lang w:eastAsia="es-MX"/>
              </w:rPr>
              <w:t xml:space="preserve">$    </w:t>
            </w:r>
            <w:r w:rsidR="00423767" w:rsidRPr="00423767">
              <w:rPr>
                <w:rFonts w:eastAsia="Times New Roman" w:cs="Calibri"/>
                <w:color w:val="000000"/>
                <w:sz w:val="20"/>
                <w:szCs w:val="20"/>
                <w:lang w:eastAsia="es-MX"/>
              </w:rPr>
              <w:t xml:space="preserve"> 1,016,665.00</w:t>
            </w:r>
          </w:p>
        </w:tc>
        <w:tc>
          <w:tcPr>
            <w:tcW w:w="1600" w:type="dxa"/>
            <w:tcBorders>
              <w:top w:val="nil"/>
              <w:left w:val="nil"/>
              <w:bottom w:val="nil"/>
              <w:right w:val="nil"/>
            </w:tcBorders>
            <w:shd w:val="clear" w:color="auto" w:fill="auto"/>
            <w:noWrap/>
            <w:hideMark/>
          </w:tcPr>
          <w:p w14:paraId="645A8E3D" w14:textId="73B67B4E" w:rsidR="006A2634" w:rsidRPr="00015BA2" w:rsidRDefault="00423767" w:rsidP="00015BA2">
            <w:pPr>
              <w:spacing w:after="0" w:line="240" w:lineRule="auto"/>
              <w:jc w:val="both"/>
              <w:rPr>
                <w:rFonts w:eastAsia="Times New Roman" w:cs="Calibri"/>
                <w:color w:val="000000"/>
                <w:sz w:val="20"/>
                <w:szCs w:val="20"/>
                <w:lang w:eastAsia="es-MX"/>
              </w:rPr>
            </w:pPr>
            <w:r>
              <w:rPr>
                <w:sz w:val="20"/>
                <w:szCs w:val="20"/>
              </w:rPr>
              <w:t xml:space="preserve">$           </w:t>
            </w:r>
            <w:r w:rsidRPr="00423767">
              <w:rPr>
                <w:sz w:val="20"/>
                <w:szCs w:val="20"/>
              </w:rPr>
              <w:t>669,808.99</w:t>
            </w:r>
          </w:p>
        </w:tc>
      </w:tr>
      <w:tr w:rsidR="00063798" w:rsidRPr="00063798" w14:paraId="4B050773" w14:textId="77777777" w:rsidTr="006A2634">
        <w:trPr>
          <w:trHeight w:val="300"/>
        </w:trPr>
        <w:tc>
          <w:tcPr>
            <w:tcW w:w="2440" w:type="dxa"/>
            <w:tcBorders>
              <w:top w:val="single" w:sz="4" w:space="0" w:color="auto"/>
              <w:left w:val="nil"/>
              <w:bottom w:val="nil"/>
              <w:right w:val="nil"/>
            </w:tcBorders>
            <w:shd w:val="clear" w:color="auto" w:fill="auto"/>
            <w:noWrap/>
            <w:vAlign w:val="center"/>
            <w:hideMark/>
          </w:tcPr>
          <w:p w14:paraId="506AF61E" w14:textId="01F2DBD4" w:rsidR="00063798" w:rsidRPr="00063798" w:rsidRDefault="00063798" w:rsidP="00015BA2">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Total </w:t>
            </w:r>
            <w:r w:rsidR="00015BA2">
              <w:rPr>
                <w:rFonts w:eastAsia="Times New Roman" w:cs="Calibri"/>
                <w:b/>
                <w:bCs/>
                <w:color w:val="000000"/>
                <w:sz w:val="20"/>
                <w:szCs w:val="20"/>
                <w:lang w:eastAsia="es-MX"/>
              </w:rPr>
              <w:t>Gastos</w:t>
            </w:r>
          </w:p>
        </w:tc>
        <w:tc>
          <w:tcPr>
            <w:tcW w:w="1540" w:type="dxa"/>
            <w:tcBorders>
              <w:top w:val="single" w:sz="4" w:space="0" w:color="auto"/>
              <w:left w:val="nil"/>
              <w:bottom w:val="nil"/>
              <w:right w:val="nil"/>
            </w:tcBorders>
            <w:shd w:val="clear" w:color="auto" w:fill="auto"/>
            <w:noWrap/>
            <w:vAlign w:val="center"/>
            <w:hideMark/>
          </w:tcPr>
          <w:p w14:paraId="3270AE33" w14:textId="77777777"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$ 36,771,320.08 </w:t>
            </w:r>
          </w:p>
        </w:tc>
        <w:tc>
          <w:tcPr>
            <w:tcW w:w="1540" w:type="dxa"/>
            <w:tcBorders>
              <w:top w:val="single" w:sz="4" w:space="0" w:color="auto"/>
              <w:left w:val="nil"/>
              <w:bottom w:val="nil"/>
              <w:right w:val="nil"/>
            </w:tcBorders>
            <w:shd w:val="clear" w:color="auto" w:fill="auto"/>
            <w:noWrap/>
            <w:vAlign w:val="center"/>
            <w:hideMark/>
          </w:tcPr>
          <w:p w14:paraId="27D79C8A" w14:textId="5EFB3801"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423767" w:rsidRPr="00423767">
              <w:rPr>
                <w:rFonts w:eastAsia="Times New Roman" w:cs="Calibri"/>
                <w:b/>
                <w:bCs/>
                <w:color w:val="000000"/>
                <w:sz w:val="20"/>
                <w:szCs w:val="20"/>
                <w:lang w:eastAsia="es-MX"/>
              </w:rPr>
              <w:t>9,853,200.25</w:t>
            </w:r>
          </w:p>
        </w:tc>
        <w:tc>
          <w:tcPr>
            <w:tcW w:w="1600" w:type="dxa"/>
            <w:tcBorders>
              <w:top w:val="single" w:sz="4" w:space="0" w:color="auto"/>
              <w:left w:val="nil"/>
              <w:bottom w:val="nil"/>
              <w:right w:val="nil"/>
            </w:tcBorders>
            <w:shd w:val="clear" w:color="auto" w:fill="auto"/>
            <w:noWrap/>
            <w:vAlign w:val="center"/>
            <w:hideMark/>
          </w:tcPr>
          <w:p w14:paraId="159D34F3" w14:textId="2C7489C3"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423767" w:rsidRPr="00423767">
              <w:rPr>
                <w:rFonts w:eastAsia="Times New Roman" w:cs="Calibri"/>
                <w:b/>
                <w:bCs/>
                <w:color w:val="000000"/>
                <w:sz w:val="20"/>
                <w:szCs w:val="20"/>
                <w:lang w:eastAsia="es-MX"/>
              </w:rPr>
              <w:t>40,715,605.77</w:t>
            </w:r>
          </w:p>
        </w:tc>
      </w:tr>
    </w:tbl>
    <w:p w14:paraId="1AFB90F5" w14:textId="77777777" w:rsidR="00063798" w:rsidRDefault="00063798" w:rsidP="00F953C8">
      <w:pPr>
        <w:spacing w:after="0" w:line="240" w:lineRule="auto"/>
        <w:contextualSpacing/>
        <w:jc w:val="both"/>
        <w:rPr>
          <w:rFonts w:asciiTheme="minorHAnsi" w:eastAsia="Times New Roman" w:hAnsiTheme="minorHAnsi" w:cs="Arial"/>
          <w:color w:val="000000"/>
          <w:sz w:val="20"/>
          <w:szCs w:val="20"/>
          <w:lang w:eastAsia="es-MX"/>
        </w:rPr>
      </w:pP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B96FE9E"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lastRenderedPageBreak/>
        <w:t>En fecha 19 de febrero de 2019 se publica en el Diario oficial de la Federación el REGLAMENTO DEL SISTEMA PARA EL DESARROLLO INTEGRAL DE LA FAMILIA DEL MUNICIPIO DE SALAMANCA, GTO.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7DFBBEEA"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Atención a la 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388063E5"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2020</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34D91202"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no Fines no Lucrativos</w:t>
      </w:r>
    </w:p>
    <w:p w14:paraId="026C6907" w14:textId="4879066A"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Actividades administrativas municipales 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4C10BAA2" w:rsidR="00CF4AD7" w:rsidRPr="000B537F"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A29F8DC" w14:textId="6E3F284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 Impuesto 2.3% Sobre Nóminas</w:t>
      </w:r>
    </w:p>
    <w:p w14:paraId="17673A95" w14:textId="07F987A3"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4264799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lastRenderedPageBreak/>
        <w:drawing>
          <wp:inline distT="0" distB="0" distL="0" distR="0" wp14:anchorId="237E9035" wp14:editId="6455CB58">
            <wp:extent cx="6151880" cy="4345941"/>
            <wp:effectExtent l="0" t="0" r="1270" b="0"/>
            <wp:docPr id="1" name="Imagen 1" descr="C:\Users\C.P. Sanjuana Romero\Documents\Organigrama DIF VI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 Sanjuana Romero\Documents\Organigrama DIF VIG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4345941"/>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4A56CCBB" w14:textId="77777777" w:rsidR="00CF4AD7" w:rsidRDefault="00CF4AD7" w:rsidP="00F953C8">
      <w:pPr>
        <w:tabs>
          <w:tab w:val="left" w:leader="underscore" w:pos="9639"/>
        </w:tabs>
        <w:spacing w:after="0" w:line="240" w:lineRule="auto"/>
        <w:contextualSpacing/>
        <w:jc w:val="both"/>
      </w:pPr>
      <w:r w:rsidRPr="00CF4AD7">
        <w:rPr>
          <w:b/>
        </w:rPr>
        <w:t>1) SUSTANCIA ECONOMICA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2) ENTES PUBLICOS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4) REVELACION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6) REGISTRO E INTEGRACION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7) CONSOLIDACION DE LA INFORMACION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VALUACION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10) DUALIDAD ECONOMICA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30929175" w:rsidR="007D1E76"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ACTUALIZAN LOS ESTADOS FINANCIEROS</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1043C027" w:rsidR="004046D1" w:rsidRPr="000B537F" w:rsidRDefault="006A2634"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tienen operaciones en el extranjero</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12FF02A4"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proofErr w:type="spellStart"/>
      <w:r>
        <w:rPr>
          <w:rFonts w:asciiTheme="minorHAnsi" w:eastAsia="Times New Roman" w:hAnsiTheme="minorHAnsi" w:cs="Arial"/>
          <w:color w:val="000000"/>
          <w:sz w:val="20"/>
          <w:szCs w:val="20"/>
          <w:lang w:eastAsia="es-MX"/>
        </w:rPr>
        <w:t>Arcon</w:t>
      </w:r>
      <w:proofErr w:type="spellEnd"/>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4F3688CC" w:rsidR="00984447" w:rsidRPr="000B537F"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77777777" w:rsidR="00E00323" w:rsidRDefault="00E00323" w:rsidP="00F953C8">
      <w:pPr>
        <w:tabs>
          <w:tab w:val="left" w:leader="underscore" w:pos="9639"/>
        </w:tabs>
        <w:spacing w:after="0" w:line="240" w:lineRule="auto"/>
        <w:contextualSpacing/>
        <w:jc w:val="both"/>
        <w:rPr>
          <w:rFonts w:asciiTheme="minorHAnsi" w:hAnsiTheme="minorHAnsi" w:cs="Calibri"/>
          <w:sz w:val="20"/>
          <w:szCs w:val="20"/>
        </w:rPr>
      </w:pPr>
    </w:p>
    <w:p w14:paraId="33C434B9" w14:textId="73EFFB84" w:rsidR="00B62C89"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A la fecha se realizó la </w:t>
      </w:r>
      <w:r w:rsidR="00705F9A">
        <w:rPr>
          <w:rFonts w:asciiTheme="minorHAnsi" w:hAnsiTheme="minorHAnsi" w:cs="Calibri"/>
          <w:sz w:val="20"/>
          <w:szCs w:val="20"/>
        </w:rPr>
        <w:t>cancelación</w:t>
      </w:r>
      <w:r>
        <w:rPr>
          <w:rFonts w:asciiTheme="minorHAnsi" w:hAnsiTheme="minorHAnsi" w:cs="Calibri"/>
          <w:sz w:val="20"/>
          <w:szCs w:val="20"/>
        </w:rPr>
        <w:t xml:space="preserve"> de las siguientes cuentas:</w:t>
      </w:r>
    </w:p>
    <w:p w14:paraId="2810F257" w14:textId="10A63B06" w:rsidR="00B62C89"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111100001 CAJA GENERAL</w:t>
      </w:r>
    </w:p>
    <w:p w14:paraId="6D49D4F2"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111300001  Banorte</w:t>
      </w:r>
    </w:p>
    <w:p w14:paraId="447B35D5"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 xml:space="preserve">111300002  </w:t>
      </w:r>
      <w:proofErr w:type="spellStart"/>
      <w:r w:rsidRPr="00705F9A">
        <w:rPr>
          <w:rFonts w:asciiTheme="minorHAnsi" w:hAnsiTheme="minorHAnsi" w:cs="Calibri"/>
          <w:sz w:val="20"/>
          <w:szCs w:val="20"/>
        </w:rPr>
        <w:t>Scotiabank</w:t>
      </w:r>
      <w:proofErr w:type="spellEnd"/>
      <w:r w:rsidRPr="00705F9A">
        <w:rPr>
          <w:rFonts w:asciiTheme="minorHAnsi" w:hAnsiTheme="minorHAnsi" w:cs="Calibri"/>
          <w:sz w:val="20"/>
          <w:szCs w:val="20"/>
        </w:rPr>
        <w:t xml:space="preserve"> 6420</w:t>
      </w:r>
    </w:p>
    <w:p w14:paraId="45CD1833"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 xml:space="preserve">111300003  </w:t>
      </w:r>
      <w:proofErr w:type="spellStart"/>
      <w:r w:rsidRPr="00705F9A">
        <w:rPr>
          <w:rFonts w:asciiTheme="minorHAnsi" w:hAnsiTheme="minorHAnsi" w:cs="Calibri"/>
          <w:sz w:val="20"/>
          <w:szCs w:val="20"/>
        </w:rPr>
        <w:t>Scotiabank</w:t>
      </w:r>
      <w:proofErr w:type="spellEnd"/>
      <w:r w:rsidRPr="00705F9A">
        <w:rPr>
          <w:rFonts w:asciiTheme="minorHAnsi" w:hAnsiTheme="minorHAnsi" w:cs="Calibri"/>
          <w:sz w:val="20"/>
          <w:szCs w:val="20"/>
        </w:rPr>
        <w:t xml:space="preserve"> 3685</w:t>
      </w:r>
    </w:p>
    <w:p w14:paraId="682644FA"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 xml:space="preserve">111300004  </w:t>
      </w:r>
      <w:proofErr w:type="spellStart"/>
      <w:r w:rsidRPr="00705F9A">
        <w:rPr>
          <w:rFonts w:asciiTheme="minorHAnsi" w:hAnsiTheme="minorHAnsi" w:cs="Calibri"/>
          <w:sz w:val="20"/>
          <w:szCs w:val="20"/>
        </w:rPr>
        <w:t>Scotiabank</w:t>
      </w:r>
      <w:proofErr w:type="spellEnd"/>
      <w:r w:rsidRPr="00705F9A">
        <w:rPr>
          <w:rFonts w:asciiTheme="minorHAnsi" w:hAnsiTheme="minorHAnsi" w:cs="Calibri"/>
          <w:sz w:val="20"/>
          <w:szCs w:val="20"/>
        </w:rPr>
        <w:t xml:space="preserve"> 3669</w:t>
      </w:r>
    </w:p>
    <w:p w14:paraId="1F310C9B"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 xml:space="preserve">111300005  </w:t>
      </w:r>
      <w:proofErr w:type="spellStart"/>
      <w:r w:rsidRPr="00705F9A">
        <w:rPr>
          <w:rFonts w:asciiTheme="minorHAnsi" w:hAnsiTheme="minorHAnsi" w:cs="Calibri"/>
          <w:sz w:val="20"/>
          <w:szCs w:val="20"/>
        </w:rPr>
        <w:t>Scotiabank</w:t>
      </w:r>
      <w:proofErr w:type="spellEnd"/>
      <w:r w:rsidRPr="00705F9A">
        <w:rPr>
          <w:rFonts w:asciiTheme="minorHAnsi" w:hAnsiTheme="minorHAnsi" w:cs="Calibri"/>
          <w:sz w:val="20"/>
          <w:szCs w:val="20"/>
        </w:rPr>
        <w:t xml:space="preserve"> 3677</w:t>
      </w:r>
    </w:p>
    <w:p w14:paraId="37BD4B5C"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111300006  Santander 6264</w:t>
      </w:r>
    </w:p>
    <w:p w14:paraId="7400D2F9"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111300008  0416608748 BANORTE</w:t>
      </w:r>
    </w:p>
    <w:p w14:paraId="5EAA9065"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111300010  0428249126 BANORTE</w:t>
      </w:r>
    </w:p>
    <w:p w14:paraId="507248EF"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111300011  15864788-201  BB C1</w:t>
      </w:r>
    </w:p>
    <w:p w14:paraId="4B64D549"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111300012  15864788-202  BB OP</w:t>
      </w:r>
    </w:p>
    <w:p w14:paraId="765730E6"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111300013  15864788-203  BB IP</w:t>
      </w:r>
    </w:p>
    <w:p w14:paraId="09FBF087" w14:textId="77777777" w:rsidR="00705F9A" w:rsidRP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111300014  15864788-204  BB AE</w:t>
      </w:r>
    </w:p>
    <w:p w14:paraId="7AE547B3" w14:textId="21472005" w:rsidR="00705F9A" w:rsidRDefault="00705F9A" w:rsidP="00705F9A">
      <w:pPr>
        <w:tabs>
          <w:tab w:val="left" w:leader="underscore" w:pos="9639"/>
        </w:tabs>
        <w:spacing w:after="0" w:line="240" w:lineRule="auto"/>
        <w:contextualSpacing/>
        <w:jc w:val="both"/>
        <w:rPr>
          <w:rFonts w:asciiTheme="minorHAnsi" w:hAnsiTheme="minorHAnsi" w:cs="Calibri"/>
          <w:sz w:val="20"/>
          <w:szCs w:val="20"/>
        </w:rPr>
      </w:pPr>
      <w:r w:rsidRPr="00705F9A">
        <w:rPr>
          <w:rFonts w:asciiTheme="minorHAnsi" w:hAnsiTheme="minorHAnsi" w:cs="Calibri"/>
          <w:sz w:val="20"/>
          <w:szCs w:val="20"/>
        </w:rPr>
        <w:t>111300015  15864788-205  BB AL</w:t>
      </w:r>
    </w:p>
    <w:p w14:paraId="122F5F5A" w14:textId="7B418BAA" w:rsidR="006A2634" w:rsidRDefault="006A2634" w:rsidP="00705F9A">
      <w:pPr>
        <w:tabs>
          <w:tab w:val="left" w:leader="underscore" w:pos="9639"/>
        </w:tabs>
        <w:spacing w:after="0" w:line="240" w:lineRule="auto"/>
        <w:contextualSpacing/>
        <w:jc w:val="both"/>
        <w:rPr>
          <w:rFonts w:asciiTheme="minorHAnsi" w:hAnsiTheme="minorHAnsi" w:cs="Calibri"/>
          <w:sz w:val="20"/>
          <w:szCs w:val="20"/>
        </w:rPr>
      </w:pPr>
      <w:r w:rsidRPr="006A2634">
        <w:rPr>
          <w:rFonts w:asciiTheme="minorHAnsi" w:hAnsiTheme="minorHAnsi" w:cs="Calibri"/>
          <w:sz w:val="20"/>
          <w:szCs w:val="20"/>
        </w:rPr>
        <w:t xml:space="preserve">111200003  </w:t>
      </w:r>
      <w:proofErr w:type="spellStart"/>
      <w:r w:rsidRPr="006A2634">
        <w:rPr>
          <w:rFonts w:asciiTheme="minorHAnsi" w:hAnsiTheme="minorHAnsi" w:cs="Calibri"/>
          <w:sz w:val="20"/>
          <w:szCs w:val="20"/>
        </w:rPr>
        <w:t>Scotiabank</w:t>
      </w:r>
      <w:proofErr w:type="spellEnd"/>
      <w:r w:rsidRPr="006A2634">
        <w:rPr>
          <w:rFonts w:asciiTheme="minorHAnsi" w:hAnsiTheme="minorHAnsi" w:cs="Calibri"/>
          <w:sz w:val="20"/>
          <w:szCs w:val="20"/>
        </w:rPr>
        <w:t xml:space="preserve"> 02300803685</w:t>
      </w:r>
    </w:p>
    <w:p w14:paraId="1C980327" w14:textId="09384DE0" w:rsidR="006A2634" w:rsidRDefault="006A2634" w:rsidP="00705F9A">
      <w:pPr>
        <w:tabs>
          <w:tab w:val="left" w:leader="underscore" w:pos="9639"/>
        </w:tabs>
        <w:spacing w:after="0" w:line="240" w:lineRule="auto"/>
        <w:contextualSpacing/>
        <w:jc w:val="both"/>
        <w:rPr>
          <w:rFonts w:asciiTheme="minorHAnsi" w:hAnsiTheme="minorHAnsi" w:cs="Calibri"/>
          <w:sz w:val="20"/>
          <w:szCs w:val="20"/>
        </w:rPr>
      </w:pPr>
      <w:r w:rsidRPr="006A2634">
        <w:rPr>
          <w:rFonts w:asciiTheme="minorHAnsi" w:hAnsiTheme="minorHAnsi" w:cs="Calibri"/>
          <w:sz w:val="20"/>
          <w:szCs w:val="20"/>
        </w:rPr>
        <w:t xml:space="preserve">111200005  </w:t>
      </w:r>
      <w:proofErr w:type="spellStart"/>
      <w:r w:rsidRPr="006A2634">
        <w:rPr>
          <w:rFonts w:asciiTheme="minorHAnsi" w:hAnsiTheme="minorHAnsi" w:cs="Calibri"/>
          <w:sz w:val="20"/>
          <w:szCs w:val="20"/>
        </w:rPr>
        <w:t>Scotiabank</w:t>
      </w:r>
      <w:proofErr w:type="spellEnd"/>
      <w:r w:rsidRPr="006A2634">
        <w:rPr>
          <w:rFonts w:asciiTheme="minorHAnsi" w:hAnsiTheme="minorHAnsi" w:cs="Calibri"/>
          <w:sz w:val="20"/>
          <w:szCs w:val="20"/>
        </w:rPr>
        <w:t xml:space="preserve"> 02300803677</w:t>
      </w:r>
    </w:p>
    <w:p w14:paraId="379DA8A4" w14:textId="77777777" w:rsidR="006A2634" w:rsidRPr="006A2634" w:rsidRDefault="006A2634" w:rsidP="006A2634">
      <w:pPr>
        <w:tabs>
          <w:tab w:val="left" w:leader="underscore" w:pos="9639"/>
        </w:tabs>
        <w:spacing w:after="0" w:line="240" w:lineRule="auto"/>
        <w:contextualSpacing/>
        <w:jc w:val="both"/>
        <w:rPr>
          <w:rFonts w:asciiTheme="minorHAnsi" w:hAnsiTheme="minorHAnsi" w:cs="Calibri"/>
          <w:sz w:val="20"/>
          <w:szCs w:val="20"/>
        </w:rPr>
      </w:pPr>
      <w:r w:rsidRPr="006A2634">
        <w:rPr>
          <w:rFonts w:asciiTheme="minorHAnsi" w:hAnsiTheme="minorHAnsi" w:cs="Calibri"/>
          <w:sz w:val="20"/>
          <w:szCs w:val="20"/>
        </w:rPr>
        <w:t>111200008  Banorte 0416608748</w:t>
      </w:r>
    </w:p>
    <w:p w14:paraId="501043EB" w14:textId="365B5B1E" w:rsidR="006A2634" w:rsidRDefault="006A2634" w:rsidP="006A2634">
      <w:pPr>
        <w:tabs>
          <w:tab w:val="left" w:leader="underscore" w:pos="9639"/>
        </w:tabs>
        <w:spacing w:after="0" w:line="240" w:lineRule="auto"/>
        <w:contextualSpacing/>
        <w:jc w:val="both"/>
        <w:rPr>
          <w:rFonts w:asciiTheme="minorHAnsi" w:hAnsiTheme="minorHAnsi" w:cs="Calibri"/>
          <w:sz w:val="20"/>
          <w:szCs w:val="20"/>
        </w:rPr>
      </w:pPr>
      <w:r w:rsidRPr="006A2634">
        <w:rPr>
          <w:rFonts w:asciiTheme="minorHAnsi" w:hAnsiTheme="minorHAnsi" w:cs="Calibri"/>
          <w:sz w:val="20"/>
          <w:szCs w:val="20"/>
        </w:rPr>
        <w:t xml:space="preserve"> 111200010  Banorte 0428249126</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lastRenderedPageBreak/>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070F3ECA"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136F9C" w:rsidRPr="000B537F">
        <w:rPr>
          <w:rFonts w:asciiTheme="minorHAnsi" w:hAnsiTheme="minorHAnsi" w:cs="Calibri"/>
          <w:sz w:val="20"/>
          <w:szCs w:val="20"/>
        </w:rPr>
        <w:t xml:space="preserve"> ya que o hay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558B2AE6" w:rsid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Institución ya cuenta con activos obsoletos los cuales </w:t>
      </w:r>
      <w:r w:rsidR="000B537F">
        <w:rPr>
          <w:rFonts w:asciiTheme="minorHAnsi" w:hAnsiTheme="minorHAnsi" w:cs="Calibri"/>
          <w:sz w:val="20"/>
          <w:szCs w:val="20"/>
        </w:rPr>
        <w:t>se renovaron</w:t>
      </w:r>
      <w:r w:rsidRPr="000B537F">
        <w:rPr>
          <w:rFonts w:asciiTheme="minorHAnsi" w:hAnsiTheme="minorHAnsi" w:cs="Calibri"/>
          <w:sz w:val="20"/>
          <w:szCs w:val="20"/>
        </w:rPr>
        <w:t xml:space="preserve"> mediante </w:t>
      </w:r>
      <w:r w:rsidR="000B537F">
        <w:rPr>
          <w:rFonts w:asciiTheme="minorHAnsi" w:hAnsiTheme="minorHAnsi" w:cs="Calibri"/>
          <w:sz w:val="20"/>
          <w:szCs w:val="20"/>
        </w:rPr>
        <w:t>proyectos de inversión de igual manera mediante los procedimientos administrativos necesarios y previa autorización de la junta de gobierno se llevó a cabo la venta de 5 vehículos los cuales por sus características y mantenimiento ya no era posible su recuperación.</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62AB3466"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A32320">
        <w:rPr>
          <w:rFonts w:asciiTheme="minorHAnsi" w:hAnsiTheme="minorHAnsi" w:cs="Calibri"/>
          <w:sz w:val="20"/>
          <w:szCs w:val="20"/>
        </w:rPr>
        <w:t>tercer</w:t>
      </w:r>
      <w:r w:rsidRPr="000B537F">
        <w:rPr>
          <w:rFonts w:asciiTheme="minorHAnsi" w:hAnsiTheme="minorHAnsi" w:cs="Calibri"/>
          <w:sz w:val="20"/>
          <w:szCs w:val="20"/>
        </w:rPr>
        <w:t xml:space="preserve"> 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64FEB6A6"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020CF4">
        <w:rPr>
          <w:rFonts w:asciiTheme="minorHAnsi" w:hAnsiTheme="minorHAnsi" w:cs="Calibri"/>
          <w:sz w:val="20"/>
          <w:szCs w:val="20"/>
        </w:rPr>
        <w:t>100.00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62AB0730"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020CF4">
        <w:rPr>
          <w:rFonts w:asciiTheme="minorHAnsi" w:hAnsiTheme="minorHAnsi" w:cs="Calibri"/>
          <w:sz w:val="20"/>
          <w:szCs w:val="20"/>
        </w:rPr>
        <w:t>100.00</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1CAAC5D6"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020CF4">
        <w:rPr>
          <w:rFonts w:asciiTheme="minorHAnsi" w:hAnsiTheme="minorHAnsi" w:cs="Calibri"/>
          <w:sz w:val="20"/>
          <w:szCs w:val="20"/>
        </w:rPr>
        <w:t xml:space="preserve">61.61 </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361AE9ED"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Para </w:t>
      </w:r>
      <w:r w:rsidR="006F197A">
        <w:rPr>
          <w:rFonts w:asciiTheme="minorHAnsi" w:hAnsiTheme="minorHAnsi" w:cs="Calibri"/>
          <w:sz w:val="20"/>
          <w:szCs w:val="20"/>
        </w:rPr>
        <w:t xml:space="preserve">el </w:t>
      </w:r>
      <w:r w:rsidR="00020CF4">
        <w:rPr>
          <w:rFonts w:asciiTheme="minorHAnsi" w:hAnsiTheme="minorHAnsi" w:cs="Calibri"/>
          <w:sz w:val="20"/>
          <w:szCs w:val="20"/>
        </w:rPr>
        <w:t>año 2021</w:t>
      </w:r>
      <w:r w:rsidR="006F197A">
        <w:rPr>
          <w:rFonts w:asciiTheme="minorHAnsi" w:hAnsiTheme="minorHAnsi" w:cs="Calibri"/>
          <w:sz w:val="20"/>
          <w:szCs w:val="20"/>
        </w:rPr>
        <w:t xml:space="preserve"> se espera una recaudación como a continuación se menciona:</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102"/>
        <w:gridCol w:w="3215"/>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77777777" w:rsidR="006F197A" w:rsidRPr="006F197A" w:rsidRDefault="006F197A" w:rsidP="006F197A">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1100120</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41256EC4" w:rsidR="006F197A" w:rsidRPr="006F197A" w:rsidRDefault="00020CF4" w:rsidP="00020CF4">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45,152,598.46</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77777777" w:rsidR="006F197A" w:rsidRPr="006F197A" w:rsidRDefault="006F197A" w:rsidP="006F197A">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1400320</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7ADB2148" w:rsidR="006F197A" w:rsidRPr="006F197A" w:rsidRDefault="00020CF4"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2,965,000.00</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77777777" w:rsidR="006F197A" w:rsidRPr="006F197A" w:rsidRDefault="006F197A" w:rsidP="006F197A">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2610120</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53C1CFC0" w:rsidR="006F197A" w:rsidRPr="006F197A" w:rsidRDefault="00020CF4" w:rsidP="000426AA">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597BDB73" w:rsidR="006F197A" w:rsidRPr="006F197A" w:rsidRDefault="006F197A" w:rsidP="00020CF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PRONOSTICO DE INGRESOS TOTALES 202</w:t>
            </w:r>
            <w:r w:rsidR="00020CF4">
              <w:rPr>
                <w:rFonts w:eastAsia="Times New Roman" w:cs="Calibri"/>
                <w:b/>
                <w:bCs/>
                <w:i/>
                <w:iCs/>
                <w:color w:val="000000"/>
                <w:sz w:val="24"/>
                <w:szCs w:val="24"/>
                <w:lang w:eastAsia="es-MX"/>
              </w:rPr>
              <w:t>1</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7454DBFA" w:rsidR="006F197A" w:rsidRPr="006F197A" w:rsidRDefault="00020CF4" w:rsidP="000426AA">
            <w:pPr>
              <w:spacing w:after="0" w:line="240" w:lineRule="auto"/>
              <w:jc w:val="right"/>
              <w:rPr>
                <w:rFonts w:eastAsia="Times New Roman" w:cs="Calibri"/>
                <w:b/>
                <w:bCs/>
                <w:i/>
                <w:iCs/>
                <w:color w:val="000000"/>
                <w:sz w:val="24"/>
                <w:szCs w:val="24"/>
                <w:lang w:eastAsia="es-MX"/>
              </w:rPr>
            </w:pPr>
            <w:r w:rsidRPr="00020CF4">
              <w:rPr>
                <w:rFonts w:eastAsia="Times New Roman" w:cs="Calibri"/>
                <w:b/>
                <w:bCs/>
                <w:i/>
                <w:iCs/>
                <w:color w:val="000000"/>
                <w:sz w:val="24"/>
                <w:szCs w:val="24"/>
                <w:lang w:eastAsia="es-MX"/>
              </w:rPr>
              <w:t>48,617,598.46</w:t>
            </w:r>
          </w:p>
        </w:tc>
        <w:bookmarkStart w:id="11" w:name="_GoBack"/>
        <w:bookmarkEnd w:id="11"/>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2"/>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3"/>
      <w:r w:rsidRPr="000B537F">
        <w:rPr>
          <w:rFonts w:asciiTheme="minorHAnsi" w:hAnsiTheme="minorHAnsi" w:cstheme="minorHAnsi"/>
          <w:b/>
          <w:color w:val="auto"/>
          <w:sz w:val="20"/>
          <w:szCs w:val="20"/>
        </w:rPr>
        <w:t>13. Proceso de Mejora:</w:t>
      </w:r>
      <w:bookmarkEnd w:id="13"/>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ASIGNACION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PRESUPUESTAL POR AREAS</w:t>
      </w:r>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APLICACIO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APLICACIÓN DE RECURSOS EN LA ADQUISICION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4"/>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5"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5"/>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6" w:name="_Toc508279636"/>
      <w:r w:rsidRPr="000B537F">
        <w:rPr>
          <w:rFonts w:asciiTheme="minorHAnsi" w:hAnsiTheme="minorHAnsi" w:cstheme="minorHAnsi"/>
          <w:b/>
          <w:color w:val="auto"/>
          <w:sz w:val="20"/>
          <w:szCs w:val="20"/>
        </w:rPr>
        <w:t>16. Partes Relacionadas:</w:t>
      </w:r>
      <w:bookmarkEnd w:id="16"/>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existen partes relacionadas que pudieran ejercer influencia significativa sobre la toma de decisiones financieras y operativas de ésta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7"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7"/>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6F1823A" w14:textId="3B917AC4" w:rsidR="007D1E76" w:rsidRPr="000B537F"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7402E4F0" w14:textId="77777777" w:rsidR="00CB4A3C" w:rsidRPr="000B537F" w:rsidRDefault="00CB4A3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E15AEEB" w14:textId="1D5BE1C9" w:rsidR="00CB4A3C" w:rsidRPr="000B537F" w:rsidRDefault="00ED03C6"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drawing>
          <wp:inline distT="0" distB="0" distL="0" distR="0" wp14:anchorId="55F74DF8" wp14:editId="76405723">
            <wp:extent cx="6150610" cy="5778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0610" cy="577850"/>
                    </a:xfrm>
                    <a:prstGeom prst="rect">
                      <a:avLst/>
                    </a:prstGeom>
                    <a:noFill/>
                    <a:ln>
                      <a:noFill/>
                    </a:ln>
                  </pic:spPr>
                </pic:pic>
              </a:graphicData>
            </a:graphic>
          </wp:inline>
        </w:drawing>
      </w:r>
    </w:p>
    <w:p w14:paraId="59710A5B"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sectPr w:rsidR="00A92E8A" w:rsidRPr="000B537F"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1104" w14:textId="77777777" w:rsidR="00C25DB8" w:rsidRDefault="00C25DB8" w:rsidP="00E00323">
      <w:pPr>
        <w:spacing w:after="0" w:line="240" w:lineRule="auto"/>
      </w:pPr>
      <w:r>
        <w:separator/>
      </w:r>
    </w:p>
  </w:endnote>
  <w:endnote w:type="continuationSeparator" w:id="0">
    <w:p w14:paraId="7268AC54" w14:textId="77777777" w:rsidR="00C25DB8" w:rsidRDefault="00C25DB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015BA2" w:rsidRDefault="00015BA2">
        <w:pPr>
          <w:pStyle w:val="Piedepgina"/>
          <w:jc w:val="right"/>
        </w:pPr>
        <w:r>
          <w:fldChar w:fldCharType="begin"/>
        </w:r>
        <w:r>
          <w:instrText>PAGE   \* MERGEFORMAT</w:instrText>
        </w:r>
        <w:r>
          <w:fldChar w:fldCharType="separate"/>
        </w:r>
        <w:r w:rsidR="00020CF4" w:rsidRPr="00020CF4">
          <w:rPr>
            <w:noProof/>
            <w:lang w:val="es-ES"/>
          </w:rPr>
          <w:t>12</w:t>
        </w:r>
        <w:r>
          <w:fldChar w:fldCharType="end"/>
        </w:r>
      </w:p>
    </w:sdtContent>
  </w:sdt>
  <w:p w14:paraId="37983FFD" w14:textId="77777777" w:rsidR="00015BA2" w:rsidRDefault="00015B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24DB" w14:textId="77777777" w:rsidR="00C25DB8" w:rsidRDefault="00C25DB8" w:rsidP="00E00323">
      <w:pPr>
        <w:spacing w:after="0" w:line="240" w:lineRule="auto"/>
      </w:pPr>
      <w:r>
        <w:separator/>
      </w:r>
    </w:p>
  </w:footnote>
  <w:footnote w:type="continuationSeparator" w:id="0">
    <w:p w14:paraId="71BCCB60" w14:textId="77777777" w:rsidR="00C25DB8" w:rsidRDefault="00C25DB8" w:rsidP="00E00323">
      <w:pPr>
        <w:spacing w:after="0" w:line="240" w:lineRule="auto"/>
      </w:pPr>
      <w:r>
        <w:continuationSeparator/>
      </w:r>
    </w:p>
  </w:footnote>
  <w:footnote w:id="1">
    <w:p w14:paraId="6F325252" w14:textId="7591452A" w:rsidR="00015BA2" w:rsidRPr="00CD06C4" w:rsidRDefault="00015BA2"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C856BF4" w:rsidR="00015BA2" w:rsidRDefault="00015BA2"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5A80F0A4" w14:textId="552C80F3" w:rsidR="00015BA2" w:rsidRDefault="00015BA2" w:rsidP="00E62F38">
    <w:pPr>
      <w:pStyle w:val="Encabezado"/>
      <w:spacing w:after="0" w:line="240" w:lineRule="auto"/>
      <w:jc w:val="center"/>
    </w:pPr>
    <w:r w:rsidRPr="00A4610E">
      <w:t>CORRESPONDI</w:t>
    </w:r>
    <w:r>
      <w:t>E</w:t>
    </w:r>
    <w:r w:rsidRPr="00A4610E">
      <w:t xml:space="preserve">NTES AL </w:t>
    </w:r>
    <w:r>
      <w:t>31 DE DICIEMBRE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88F"/>
    <w:rsid w:val="00015BA2"/>
    <w:rsid w:val="00020CF4"/>
    <w:rsid w:val="00037285"/>
    <w:rsid w:val="00040D4F"/>
    <w:rsid w:val="000426AA"/>
    <w:rsid w:val="000536F4"/>
    <w:rsid w:val="000611BE"/>
    <w:rsid w:val="00063798"/>
    <w:rsid w:val="00084EAE"/>
    <w:rsid w:val="0008543E"/>
    <w:rsid w:val="00091CE6"/>
    <w:rsid w:val="000B537F"/>
    <w:rsid w:val="000B7810"/>
    <w:rsid w:val="000C3365"/>
    <w:rsid w:val="000D23CB"/>
    <w:rsid w:val="000D693A"/>
    <w:rsid w:val="0012405A"/>
    <w:rsid w:val="00136F9C"/>
    <w:rsid w:val="0014351F"/>
    <w:rsid w:val="00154BA3"/>
    <w:rsid w:val="00172173"/>
    <w:rsid w:val="0018194B"/>
    <w:rsid w:val="001973A2"/>
    <w:rsid w:val="001C75F2"/>
    <w:rsid w:val="001D2063"/>
    <w:rsid w:val="001D43E9"/>
    <w:rsid w:val="00200560"/>
    <w:rsid w:val="002318F6"/>
    <w:rsid w:val="002B60D1"/>
    <w:rsid w:val="002D7723"/>
    <w:rsid w:val="002E2172"/>
    <w:rsid w:val="002F3DCE"/>
    <w:rsid w:val="003453CA"/>
    <w:rsid w:val="003E5CA4"/>
    <w:rsid w:val="004046D1"/>
    <w:rsid w:val="00423767"/>
    <w:rsid w:val="00435A87"/>
    <w:rsid w:val="004A58C8"/>
    <w:rsid w:val="004E19FD"/>
    <w:rsid w:val="004F234D"/>
    <w:rsid w:val="0054701E"/>
    <w:rsid w:val="00563A4F"/>
    <w:rsid w:val="005A3B0F"/>
    <w:rsid w:val="005B5531"/>
    <w:rsid w:val="005D3E43"/>
    <w:rsid w:val="005E231E"/>
    <w:rsid w:val="005F1C62"/>
    <w:rsid w:val="00626F01"/>
    <w:rsid w:val="00637EE5"/>
    <w:rsid w:val="00657009"/>
    <w:rsid w:val="00681C79"/>
    <w:rsid w:val="006A2634"/>
    <w:rsid w:val="006E56F3"/>
    <w:rsid w:val="006F197A"/>
    <w:rsid w:val="00705F9A"/>
    <w:rsid w:val="007447B9"/>
    <w:rsid w:val="007610BC"/>
    <w:rsid w:val="007714AB"/>
    <w:rsid w:val="007978A5"/>
    <w:rsid w:val="007D1E76"/>
    <w:rsid w:val="007D4484"/>
    <w:rsid w:val="00834FFF"/>
    <w:rsid w:val="0085536A"/>
    <w:rsid w:val="0086459F"/>
    <w:rsid w:val="00891377"/>
    <w:rsid w:val="008A02A8"/>
    <w:rsid w:val="008C3BB8"/>
    <w:rsid w:val="008C748E"/>
    <w:rsid w:val="008E076C"/>
    <w:rsid w:val="0092765C"/>
    <w:rsid w:val="00984447"/>
    <w:rsid w:val="00A2677A"/>
    <w:rsid w:val="00A32320"/>
    <w:rsid w:val="00A4610E"/>
    <w:rsid w:val="00A730E0"/>
    <w:rsid w:val="00A76BBB"/>
    <w:rsid w:val="00A92E8A"/>
    <w:rsid w:val="00AA41E5"/>
    <w:rsid w:val="00AA63E3"/>
    <w:rsid w:val="00AA7C9A"/>
    <w:rsid w:val="00AB722B"/>
    <w:rsid w:val="00AE1F6A"/>
    <w:rsid w:val="00B02357"/>
    <w:rsid w:val="00B62C89"/>
    <w:rsid w:val="00C25DB8"/>
    <w:rsid w:val="00C97E1E"/>
    <w:rsid w:val="00CB41C4"/>
    <w:rsid w:val="00CB4A3C"/>
    <w:rsid w:val="00CE2E33"/>
    <w:rsid w:val="00CF1316"/>
    <w:rsid w:val="00CF4AD7"/>
    <w:rsid w:val="00D13C44"/>
    <w:rsid w:val="00D52244"/>
    <w:rsid w:val="00D80D9C"/>
    <w:rsid w:val="00D975B1"/>
    <w:rsid w:val="00DD29B5"/>
    <w:rsid w:val="00E00323"/>
    <w:rsid w:val="00E01497"/>
    <w:rsid w:val="00E557B5"/>
    <w:rsid w:val="00E62F38"/>
    <w:rsid w:val="00E74967"/>
    <w:rsid w:val="00E7559F"/>
    <w:rsid w:val="00EA37F5"/>
    <w:rsid w:val="00EA7915"/>
    <w:rsid w:val="00ED03C6"/>
    <w:rsid w:val="00F46719"/>
    <w:rsid w:val="00F54F6F"/>
    <w:rsid w:val="00F65A92"/>
    <w:rsid w:val="00F718CA"/>
    <w:rsid w:val="00F95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39398-1D31-4857-B758-B7FDA885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3420</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 Salamanca</cp:lastModifiedBy>
  <cp:revision>40</cp:revision>
  <cp:lastPrinted>2019-04-29T23:47:00Z</cp:lastPrinted>
  <dcterms:created xsi:type="dcterms:W3CDTF">2017-01-12T05:27:00Z</dcterms:created>
  <dcterms:modified xsi:type="dcterms:W3CDTF">2021-01-21T19:06:00Z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